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3E" w:rsidRDefault="00C0153E" w:rsidP="00C0153E">
      <w:pPr>
        <w:spacing w:after="0" w:line="240" w:lineRule="auto"/>
        <w:jc w:val="center"/>
        <w:rPr>
          <w:rFonts w:ascii="Times New Roman" w:hAnsi="Times New Roman"/>
          <w:b/>
          <w:i/>
          <w:sz w:val="28"/>
          <w:szCs w:val="28"/>
        </w:rPr>
      </w:pPr>
      <w:r>
        <w:rPr>
          <w:rFonts w:ascii="Times New Roman" w:hAnsi="Times New Roman"/>
          <w:b/>
          <w:sz w:val="28"/>
          <w:szCs w:val="28"/>
        </w:rPr>
        <w:t>Intitulé de la communication</w:t>
      </w:r>
      <w:r>
        <w:rPr>
          <w:rFonts w:ascii="Times New Roman" w:hAnsi="Times New Roman"/>
          <w:sz w:val="28"/>
          <w:szCs w:val="28"/>
        </w:rPr>
        <w:t xml:space="preserve"> </w:t>
      </w:r>
    </w:p>
    <w:p w:rsidR="00C0153E" w:rsidRDefault="00C0153E" w:rsidP="00C0153E">
      <w:pPr>
        <w:spacing w:after="0" w:line="240" w:lineRule="auto"/>
        <w:jc w:val="center"/>
        <w:rPr>
          <w:rFonts w:ascii="Times New Roman" w:eastAsia="Times New Roman" w:hAnsi="Times New Roman"/>
          <w:sz w:val="24"/>
          <w:szCs w:val="24"/>
          <w:lang w:eastAsia="fr-FR"/>
        </w:rPr>
      </w:pPr>
      <w:r>
        <w:t>(</w:t>
      </w:r>
      <w:r>
        <w:rPr>
          <w:rFonts w:ascii="Times New Roman" w:eastAsia="Times New Roman" w:hAnsi="Times New Roman"/>
          <w:sz w:val="24"/>
          <w:szCs w:val="24"/>
          <w:lang w:eastAsia="fr-FR"/>
        </w:rPr>
        <w:t xml:space="preserve">Impact de </w:t>
      </w:r>
      <w:r>
        <w:rPr>
          <w:rFonts w:ascii="Times New Roman" w:eastAsia="Times New Roman" w:hAnsi="Times New Roman"/>
          <w:i/>
          <w:iCs/>
          <w:sz w:val="24"/>
          <w:szCs w:val="24"/>
          <w:lang w:eastAsia="fr-FR"/>
        </w:rPr>
        <w:t xml:space="preserve">Gambusia </w:t>
      </w:r>
      <w:proofErr w:type="spellStart"/>
      <w:r>
        <w:rPr>
          <w:rFonts w:ascii="Times New Roman" w:eastAsia="Times New Roman" w:hAnsi="Times New Roman"/>
          <w:i/>
          <w:iCs/>
          <w:sz w:val="24"/>
          <w:szCs w:val="24"/>
          <w:lang w:eastAsia="fr-FR"/>
        </w:rPr>
        <w:t>holbrook</w:t>
      </w:r>
      <w:bookmarkStart w:id="0" w:name="_GoBack"/>
      <w:bookmarkEnd w:id="0"/>
      <w:r w:rsidRPr="00C0153E">
        <w:rPr>
          <w:rFonts w:ascii="Times New Roman" w:eastAsia="Times New Roman" w:hAnsi="Times New Roman"/>
          <w:i/>
          <w:iCs/>
          <w:sz w:val="24"/>
          <w:szCs w:val="24"/>
          <w:lang w:eastAsia="fr-FR"/>
        </w:rPr>
        <w:t>i</w:t>
      </w:r>
      <w:proofErr w:type="spellEnd"/>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dans les </w:t>
      </w:r>
      <w:r>
        <w:rPr>
          <w:rFonts w:ascii="Times New Roman" w:eastAsia="Times New Roman" w:hAnsi="Times New Roman"/>
          <w:sz w:val="24"/>
          <w:szCs w:val="24"/>
          <w:lang w:eastAsia="fr-FR"/>
        </w:rPr>
        <w:t>mares temporaires de la Numidie orientale</w:t>
      </w:r>
      <w:r>
        <w:rPr>
          <w:rFonts w:ascii="Times New Roman" w:eastAsia="Times New Roman" w:hAnsi="Times New Roman"/>
          <w:sz w:val="24"/>
          <w:szCs w:val="24"/>
          <w:lang w:eastAsia="fr-FR"/>
        </w:rPr>
        <w:t>)</w:t>
      </w:r>
    </w:p>
    <w:p w:rsidR="00C0153E" w:rsidRDefault="00C0153E" w:rsidP="00C0153E">
      <w:pPr>
        <w:spacing w:after="0" w:line="240" w:lineRule="auto"/>
        <w:rPr>
          <w:rFonts w:ascii="Times New Roman" w:eastAsia="Times New Roman" w:hAnsi="Times New Roman"/>
          <w:sz w:val="24"/>
          <w:szCs w:val="24"/>
          <w:lang w:eastAsia="fr-FR"/>
        </w:rPr>
      </w:pPr>
    </w:p>
    <w:p w:rsidR="00C0153E" w:rsidRDefault="00C0153E" w:rsidP="00C0153E">
      <w:pPr>
        <w:spacing w:after="0" w:line="240" w:lineRule="auto"/>
        <w:jc w:val="center"/>
        <w:rPr>
          <w:b/>
        </w:rPr>
      </w:pPr>
      <w:r>
        <w:rPr>
          <w:rFonts w:ascii="Times New Roman" w:hAnsi="Times New Roman"/>
          <w:b/>
        </w:rPr>
        <w:t xml:space="preserve">Auteur(s) / </w:t>
      </w:r>
      <w:proofErr w:type="spellStart"/>
      <w:r>
        <w:rPr>
          <w:rFonts w:ascii="Times New Roman" w:hAnsi="Times New Roman"/>
          <w:b/>
          <w:i/>
        </w:rPr>
        <w:t>Authors</w:t>
      </w:r>
      <w:proofErr w:type="spellEnd"/>
      <w:r>
        <w:rPr>
          <w:b/>
        </w:rPr>
        <w:t xml:space="preserve"> </w:t>
      </w:r>
      <w:r>
        <w:t>(</w:t>
      </w:r>
      <w:proofErr w:type="spellStart"/>
      <w:r>
        <w:rPr>
          <w:rFonts w:ascii="Times New Roman" w:hAnsi="Times New Roman"/>
          <w:b/>
          <w:bCs/>
          <w:u w:val="single"/>
        </w:rPr>
        <w:t>Dalal</w:t>
      </w:r>
      <w:proofErr w:type="spellEnd"/>
      <w:r>
        <w:rPr>
          <w:rFonts w:ascii="Times New Roman" w:hAnsi="Times New Roman"/>
          <w:b/>
          <w:bCs/>
          <w:u w:val="single"/>
        </w:rPr>
        <w:t xml:space="preserve"> Haiahem</w:t>
      </w:r>
      <w:r>
        <w:rPr>
          <w:rFonts w:ascii="Times New Roman" w:hAnsi="Times New Roman"/>
          <w:b/>
          <w:bCs/>
          <w:u w:val="single"/>
          <w:vertAlign w:val="superscript"/>
        </w:rPr>
        <w:t>1</w:t>
      </w:r>
      <w:r>
        <w:rPr>
          <w:rFonts w:ascii="Times New Roman" w:hAnsi="Times New Roman"/>
          <w:b/>
          <w:bCs/>
        </w:rPr>
        <w:t xml:space="preserve">, </w:t>
      </w:r>
      <w:proofErr w:type="spellStart"/>
      <w:r>
        <w:rPr>
          <w:rFonts w:ascii="Times New Roman" w:hAnsi="Times New Roman"/>
          <w:b/>
          <w:bCs/>
        </w:rPr>
        <w:t>Benslimane</w:t>
      </w:r>
      <w:proofErr w:type="spellEnd"/>
      <w:r>
        <w:rPr>
          <w:rFonts w:ascii="Times New Roman" w:hAnsi="Times New Roman"/>
          <w:b/>
          <w:bCs/>
        </w:rPr>
        <w:t xml:space="preserve"> </w:t>
      </w:r>
      <w:proofErr w:type="spellStart"/>
      <w:r>
        <w:rPr>
          <w:rFonts w:ascii="Times New Roman" w:hAnsi="Times New Roman"/>
          <w:b/>
          <w:bCs/>
        </w:rPr>
        <w:t>Nouara</w:t>
      </w:r>
      <w:proofErr w:type="spellEnd"/>
      <w:r>
        <w:rPr>
          <w:rFonts w:ascii="Times New Roman" w:hAnsi="Times New Roman"/>
          <w:b/>
          <w:bCs/>
        </w:rPr>
        <w:t xml:space="preserve">, </w:t>
      </w:r>
      <w:proofErr w:type="spellStart"/>
      <w:r>
        <w:rPr>
          <w:rFonts w:ascii="Times New Roman" w:hAnsi="Times New Roman"/>
          <w:b/>
          <w:bCs/>
        </w:rPr>
        <w:t>Laïd</w:t>
      </w:r>
      <w:proofErr w:type="spellEnd"/>
      <w:r>
        <w:rPr>
          <w:rFonts w:ascii="Times New Roman" w:hAnsi="Times New Roman"/>
          <w:b/>
          <w:bCs/>
        </w:rPr>
        <w:t xml:space="preserve"> Touati</w:t>
      </w:r>
      <w:r>
        <w:rPr>
          <w:rFonts w:ascii="Times New Roman" w:hAnsi="Times New Roman"/>
          <w:b/>
          <w:bCs/>
          <w:vertAlign w:val="superscript"/>
        </w:rPr>
        <w:t>1</w:t>
      </w:r>
      <w:proofErr w:type="gramStart"/>
      <w:r>
        <w:rPr>
          <w:rFonts w:ascii="Times New Roman" w:hAnsi="Times New Roman"/>
          <w:b/>
          <w:bCs/>
          <w:vertAlign w:val="superscript"/>
        </w:rPr>
        <w:t>,2</w:t>
      </w:r>
      <w:proofErr w:type="gramEnd"/>
      <w:r>
        <w:rPr>
          <w:rFonts w:ascii="Times New Roman" w:hAnsi="Times New Roman"/>
          <w:b/>
          <w:bCs/>
        </w:rPr>
        <w:t xml:space="preserve">, </w:t>
      </w:r>
      <w:proofErr w:type="spellStart"/>
      <w:r>
        <w:rPr>
          <w:rFonts w:ascii="Times New Roman" w:hAnsi="Times New Roman"/>
          <w:b/>
          <w:bCs/>
        </w:rPr>
        <w:t>Farrah</w:t>
      </w:r>
      <w:proofErr w:type="spellEnd"/>
      <w:r>
        <w:rPr>
          <w:rFonts w:ascii="Times New Roman" w:hAnsi="Times New Roman"/>
          <w:b/>
          <w:bCs/>
        </w:rPr>
        <w:t xml:space="preserve"> Samraoui</w:t>
      </w:r>
      <w:r>
        <w:rPr>
          <w:rFonts w:ascii="Times New Roman" w:hAnsi="Times New Roman"/>
          <w:b/>
          <w:bCs/>
          <w:vertAlign w:val="superscript"/>
        </w:rPr>
        <w:t xml:space="preserve">1 </w:t>
      </w:r>
      <w:r>
        <w:rPr>
          <w:rFonts w:ascii="Times New Roman" w:hAnsi="Times New Roman"/>
          <w:b/>
          <w:bCs/>
        </w:rPr>
        <w:t xml:space="preserve">&amp; </w:t>
      </w:r>
      <w:proofErr w:type="spellStart"/>
      <w:r>
        <w:rPr>
          <w:rFonts w:ascii="Times New Roman" w:hAnsi="Times New Roman"/>
          <w:b/>
          <w:bCs/>
        </w:rPr>
        <w:t>Boudjéma</w:t>
      </w:r>
      <w:proofErr w:type="spellEnd"/>
      <w:r>
        <w:rPr>
          <w:rFonts w:ascii="Times New Roman" w:hAnsi="Times New Roman"/>
          <w:b/>
          <w:bCs/>
        </w:rPr>
        <w:t xml:space="preserve"> Samraoui</w:t>
      </w:r>
      <w:r>
        <w:rPr>
          <w:rFonts w:ascii="Times New Roman" w:hAnsi="Times New Roman"/>
          <w:b/>
          <w:bCs/>
          <w:vertAlign w:val="superscript"/>
        </w:rPr>
        <w:t>1</w:t>
      </w:r>
      <w:r>
        <w:t>)</w:t>
      </w:r>
    </w:p>
    <w:p w:rsidR="00C0153E" w:rsidRDefault="00C0153E" w:rsidP="00C0153E">
      <w:pPr>
        <w:spacing w:after="0" w:line="240" w:lineRule="auto"/>
        <w:jc w:val="center"/>
        <w:rPr>
          <w:rFonts w:ascii="Times New Roman" w:hAnsi="Times New Roman"/>
          <w:b/>
          <w:sz w:val="20"/>
          <w:szCs w:val="20"/>
        </w:rPr>
      </w:pPr>
    </w:p>
    <w:p w:rsidR="00C0153E" w:rsidRDefault="00C0153E" w:rsidP="00C0153E">
      <w:pPr>
        <w:rPr>
          <w:rFonts w:ascii="Times New Roman" w:hAnsi="Times New Roman"/>
          <w:b/>
          <w:bCs/>
          <w:sz w:val="20"/>
          <w:szCs w:val="20"/>
        </w:rPr>
      </w:pPr>
      <w:r>
        <w:rPr>
          <w:rFonts w:ascii="Times New Roman" w:hAnsi="Times New Roman"/>
          <w:b/>
          <w:sz w:val="20"/>
          <w:szCs w:val="20"/>
        </w:rPr>
        <w:t xml:space="preserve">Affiliation(s) </w:t>
      </w:r>
      <w:r>
        <w:t>(</w:t>
      </w:r>
      <w:r>
        <w:rPr>
          <w:rFonts w:ascii="Times New Roman" w:hAnsi="Times New Roman"/>
          <w:b/>
          <w:bCs/>
          <w:sz w:val="20"/>
          <w:szCs w:val="20"/>
          <w:vertAlign w:val="superscript"/>
        </w:rPr>
        <w:t>1</w:t>
      </w:r>
      <w:r>
        <w:rPr>
          <w:rFonts w:ascii="Times New Roman" w:hAnsi="Times New Roman"/>
          <w:b/>
          <w:bCs/>
          <w:sz w:val="20"/>
          <w:szCs w:val="20"/>
        </w:rPr>
        <w:t>Laboratoire de recherche et de conservation des zones humides, Université de Guelma, Algérie</w:t>
      </w:r>
    </w:p>
    <w:p w:rsidR="00C0153E" w:rsidRDefault="00C0153E" w:rsidP="00C0153E">
      <w:pPr>
        <w:rPr>
          <w:rFonts w:ascii="Times New Roman" w:hAnsi="Times New Roman"/>
          <w:b/>
          <w:bCs/>
          <w:sz w:val="20"/>
          <w:szCs w:val="20"/>
        </w:rPr>
      </w:pPr>
      <w:r>
        <w:rPr>
          <w:rFonts w:ascii="Times New Roman" w:hAnsi="Times New Roman"/>
          <w:b/>
          <w:bCs/>
          <w:sz w:val="20"/>
          <w:szCs w:val="20"/>
          <w:vertAlign w:val="superscript"/>
        </w:rPr>
        <w:t xml:space="preserve">                                     2</w:t>
      </w:r>
      <w:r>
        <w:rPr>
          <w:rFonts w:ascii="Times New Roman" w:hAnsi="Times New Roman"/>
          <w:b/>
          <w:bCs/>
          <w:sz w:val="20"/>
          <w:szCs w:val="20"/>
        </w:rPr>
        <w:t>Département de Biologie, Université de Constantine, Algérie</w:t>
      </w:r>
      <w:r>
        <w:t>)</w:t>
      </w:r>
      <w:r>
        <w:rPr>
          <w:rFonts w:ascii="Times New Roman" w:hAnsi="Times New Roman"/>
          <w:b/>
          <w:bCs/>
          <w:sz w:val="20"/>
          <w:szCs w:val="20"/>
        </w:rPr>
        <w:t>.</w:t>
      </w:r>
    </w:p>
    <w:p w:rsidR="00C0153E" w:rsidRDefault="00C0153E" w:rsidP="00C0153E">
      <w:r>
        <w:t>(</w:t>
      </w:r>
      <w:hyperlink r:id="rId4" w:history="1">
        <w:r>
          <w:rPr>
            <w:rStyle w:val="Lienhypertexte"/>
            <w:rFonts w:ascii="Times New Roman" w:hAnsi="Times New Roman"/>
            <w:b/>
            <w:bCs/>
            <w:sz w:val="20"/>
            <w:szCs w:val="20"/>
          </w:rPr>
          <w:t>haihemedalel</w:t>
        </w:r>
        <w:r>
          <w:rPr>
            <w:rStyle w:val="Lienhypertexte"/>
            <w:b/>
            <w:bCs/>
            <w:sz w:val="20"/>
            <w:szCs w:val="20"/>
          </w:rPr>
          <w:t>@</w:t>
        </w:r>
        <w:r>
          <w:rPr>
            <w:rStyle w:val="Lienhypertexte"/>
            <w:rFonts w:ascii="Times New Roman" w:hAnsi="Times New Roman"/>
            <w:b/>
            <w:bCs/>
            <w:sz w:val="20"/>
            <w:szCs w:val="20"/>
          </w:rPr>
          <w:t>yahoo.fr</w:t>
        </w:r>
      </w:hyperlink>
      <w:r>
        <w:t>)</w:t>
      </w:r>
    </w:p>
    <w:p w:rsidR="00C0153E" w:rsidRDefault="00C0153E" w:rsidP="00C0153E">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Résumé :</w:t>
      </w:r>
    </w:p>
    <w:p w:rsidR="00C0153E" w:rsidRDefault="00C0153E" w:rsidP="00C0153E">
      <w:pPr>
        <w:spacing w:after="0" w:line="240" w:lineRule="auto"/>
        <w:rPr>
          <w:rFonts w:ascii="Times New Roman" w:eastAsia="Times New Roman" w:hAnsi="Times New Roman"/>
          <w:sz w:val="24"/>
          <w:szCs w:val="24"/>
          <w:lang w:eastAsia="fr-FR"/>
        </w:rPr>
      </w:pPr>
    </w:p>
    <w:p w:rsidR="00C0153E" w:rsidRDefault="00C0153E" w:rsidP="00C0153E">
      <w:pPr>
        <w:spacing w:line="360" w:lineRule="auto"/>
        <w:ind w:firstLine="708"/>
        <w:jc w:val="both"/>
        <w:rPr>
          <w:rFonts w:asciiTheme="majorBidi" w:hAnsiTheme="majorBidi" w:cstheme="majorBidi"/>
          <w:b/>
          <w:bCs/>
          <w:sz w:val="24"/>
          <w:szCs w:val="24"/>
        </w:rPr>
      </w:pPr>
      <w:r>
        <w:rPr>
          <w:rFonts w:asciiTheme="majorBidi" w:hAnsiTheme="majorBidi" w:cstheme="majorBidi"/>
          <w:sz w:val="24"/>
          <w:szCs w:val="24"/>
        </w:rPr>
        <w:t xml:space="preserve">Les prédateurs jouent un rôle très important au sein des écosystèmes et leurs effets peuvent stabiliser ou déstabiliser la dynamique de leurs proies. L’impact des poissons sur les réseaux trophiques aquatiques est relativement bien connu mais leur présence au sein des milieux temporaires comme les mares est relativement moins bien étudiée. </w:t>
      </w:r>
    </w:p>
    <w:p w:rsidR="00C0153E" w:rsidRDefault="00C0153E" w:rsidP="00C0153E">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Nous avons utilisé une approche expérimentale pour étudier l’influence d’un poisson allochtone </w:t>
      </w:r>
      <w:r>
        <w:rPr>
          <w:rFonts w:asciiTheme="majorBidi" w:hAnsiTheme="majorBidi" w:cstheme="majorBidi"/>
          <w:i/>
          <w:iCs/>
          <w:sz w:val="24"/>
          <w:szCs w:val="24"/>
        </w:rPr>
        <w:t xml:space="preserve">Gambusia </w:t>
      </w:r>
      <w:proofErr w:type="spellStart"/>
      <w:r>
        <w:rPr>
          <w:rFonts w:asciiTheme="majorBidi" w:hAnsiTheme="majorBidi" w:cstheme="majorBidi"/>
          <w:i/>
          <w:iCs/>
          <w:sz w:val="24"/>
          <w:szCs w:val="24"/>
        </w:rPr>
        <w:t>holbrooki</w:t>
      </w:r>
      <w:proofErr w:type="spellEnd"/>
      <w:r>
        <w:rPr>
          <w:rFonts w:asciiTheme="majorBidi" w:hAnsiTheme="majorBidi" w:cstheme="majorBidi"/>
          <w:sz w:val="24"/>
          <w:szCs w:val="24"/>
        </w:rPr>
        <w:t xml:space="preserve"> sur les peuplements faunistiques des mares temporaires du Nord-est algérien. Un total de 24 mares a été distribué de manière aléatoire en 4 lots (trois densités de poissons différentes et un lot témoin) et suivi de manière mensuelle sur deux cycles hydrologiques. En parallèle à l’échantillonnage des descripteurs  physico-chimiques, des macros invertébrées et du zooplancton, le régime alimentaire de </w:t>
      </w:r>
      <w:r>
        <w:rPr>
          <w:rFonts w:asciiTheme="majorBidi" w:hAnsiTheme="majorBidi" w:cstheme="majorBidi"/>
          <w:i/>
          <w:iCs/>
          <w:sz w:val="24"/>
          <w:szCs w:val="24"/>
        </w:rPr>
        <w:t xml:space="preserve">Gambusia </w:t>
      </w:r>
      <w:proofErr w:type="spellStart"/>
      <w:r>
        <w:rPr>
          <w:rFonts w:asciiTheme="majorBidi" w:hAnsiTheme="majorBidi" w:cstheme="majorBidi"/>
          <w:i/>
          <w:iCs/>
          <w:sz w:val="24"/>
          <w:szCs w:val="24"/>
        </w:rPr>
        <w:t>holbrooki</w:t>
      </w:r>
      <w:proofErr w:type="spellEnd"/>
      <w:r>
        <w:rPr>
          <w:rFonts w:asciiTheme="majorBidi" w:hAnsiTheme="majorBidi" w:cstheme="majorBidi"/>
          <w:sz w:val="24"/>
          <w:szCs w:val="24"/>
        </w:rPr>
        <w:t xml:space="preserve"> au sein des mares temporaires a fait l’objet d’investigation, plus particulièrement nous aborderons l’impact de </w:t>
      </w:r>
      <w:r>
        <w:rPr>
          <w:rFonts w:asciiTheme="majorBidi" w:hAnsiTheme="majorBidi" w:cstheme="majorBidi"/>
          <w:i/>
          <w:iCs/>
          <w:sz w:val="24"/>
          <w:szCs w:val="24"/>
        </w:rPr>
        <w:t xml:space="preserve">Gambusia </w:t>
      </w:r>
      <w:r>
        <w:rPr>
          <w:rFonts w:asciiTheme="majorBidi" w:hAnsiTheme="majorBidi" w:cstheme="majorBidi"/>
          <w:sz w:val="24"/>
          <w:szCs w:val="24"/>
        </w:rPr>
        <w:t>sur la faune aquatique.</w:t>
      </w:r>
    </w:p>
    <w:p w:rsidR="00C0153E" w:rsidRDefault="00C0153E" w:rsidP="00C0153E">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Face à l’expansion des poissons introduits à travers les  zones humides algériennes, nous aborderons la conservation des mares temporaires, milieux vulnérables, et refuges d’une faune et flore excessivement menacées.     </w:t>
      </w:r>
    </w:p>
    <w:p w:rsidR="00C0153E" w:rsidRDefault="00C0153E" w:rsidP="00C0153E">
      <w:pPr>
        <w:spacing w:line="360" w:lineRule="auto"/>
        <w:jc w:val="both"/>
        <w:rPr>
          <w:rFonts w:asciiTheme="majorBidi" w:hAnsiTheme="majorBidi" w:cstheme="majorBidi"/>
          <w:sz w:val="24"/>
          <w:szCs w:val="24"/>
        </w:rPr>
      </w:pPr>
      <w:r>
        <w:rPr>
          <w:rFonts w:asciiTheme="majorBidi" w:hAnsiTheme="majorBidi" w:cstheme="majorBidi"/>
          <w:sz w:val="24"/>
          <w:szCs w:val="24"/>
        </w:rPr>
        <w:t>Mots clés</w:t>
      </w:r>
      <w:r>
        <w:rPr>
          <w:rFonts w:asciiTheme="majorBidi" w:hAnsiTheme="majorBidi" w:cstheme="majorBidi"/>
          <w:sz w:val="24"/>
          <w:szCs w:val="24"/>
        </w:rPr>
        <w:t xml:space="preserve"> : Gambusia </w:t>
      </w:r>
      <w:proofErr w:type="spellStart"/>
      <w:r>
        <w:rPr>
          <w:rFonts w:asciiTheme="majorBidi" w:hAnsiTheme="majorBidi" w:cstheme="majorBidi"/>
          <w:sz w:val="24"/>
          <w:szCs w:val="24"/>
        </w:rPr>
        <w:t>holbrooki</w:t>
      </w:r>
      <w:proofErr w:type="spellEnd"/>
      <w:r>
        <w:rPr>
          <w:rFonts w:asciiTheme="majorBidi" w:hAnsiTheme="majorBidi" w:cstheme="majorBidi"/>
          <w:sz w:val="24"/>
          <w:szCs w:val="24"/>
        </w:rPr>
        <w:t>, régime alimentaire, les mares temporaires, les macros invertébrés, impact.</w:t>
      </w:r>
    </w:p>
    <w:p w:rsidR="00C0153E" w:rsidRDefault="00C0153E" w:rsidP="00C0153E">
      <w:pPr>
        <w:spacing w:after="0" w:line="240" w:lineRule="auto"/>
        <w:rPr>
          <w:rFonts w:ascii="Times New Roman" w:eastAsia="Times New Roman" w:hAnsi="Times New Roman"/>
          <w:sz w:val="24"/>
          <w:szCs w:val="24"/>
          <w:lang w:eastAsia="fr-FR"/>
        </w:rPr>
      </w:pPr>
    </w:p>
    <w:p w:rsidR="00E85745" w:rsidRDefault="00E85745"/>
    <w:sectPr w:rsidR="00E85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3E"/>
    <w:rsid w:val="00C0153E"/>
    <w:rsid w:val="00E857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5FBAE-6A5C-4020-8DBA-8AC8E9AE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53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015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307">
      <w:bodyDiv w:val="1"/>
      <w:marLeft w:val="0"/>
      <w:marRight w:val="0"/>
      <w:marTop w:val="0"/>
      <w:marBottom w:val="0"/>
      <w:divBdr>
        <w:top w:val="none" w:sz="0" w:space="0" w:color="auto"/>
        <w:left w:val="none" w:sz="0" w:space="0" w:color="auto"/>
        <w:bottom w:val="none" w:sz="0" w:space="0" w:color="auto"/>
        <w:right w:val="none" w:sz="0" w:space="0" w:color="auto"/>
      </w:divBdr>
    </w:div>
    <w:div w:id="457601139">
      <w:bodyDiv w:val="1"/>
      <w:marLeft w:val="0"/>
      <w:marRight w:val="0"/>
      <w:marTop w:val="0"/>
      <w:marBottom w:val="0"/>
      <w:divBdr>
        <w:top w:val="none" w:sz="0" w:space="0" w:color="auto"/>
        <w:left w:val="none" w:sz="0" w:space="0" w:color="auto"/>
        <w:bottom w:val="none" w:sz="0" w:space="0" w:color="auto"/>
        <w:right w:val="none" w:sz="0" w:space="0" w:color="auto"/>
      </w:divBdr>
    </w:div>
    <w:div w:id="924727651">
      <w:bodyDiv w:val="1"/>
      <w:marLeft w:val="0"/>
      <w:marRight w:val="0"/>
      <w:marTop w:val="0"/>
      <w:marBottom w:val="0"/>
      <w:divBdr>
        <w:top w:val="none" w:sz="0" w:space="0" w:color="auto"/>
        <w:left w:val="none" w:sz="0" w:space="0" w:color="auto"/>
        <w:bottom w:val="none" w:sz="0" w:space="0" w:color="auto"/>
        <w:right w:val="none" w:sz="0" w:space="0" w:color="auto"/>
      </w:divBdr>
    </w:div>
    <w:div w:id="10520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ihemedalel@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1583</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2016-04-06T20:13:00Z</dcterms:created>
  <dcterms:modified xsi:type="dcterms:W3CDTF">2016-04-06T20:20:00Z</dcterms:modified>
</cp:coreProperties>
</file>